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37E9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С-1-1642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7E92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НЫ В ОБОРОТЕ В СООТВЕТСТВИИ С ЗАКОНОДАТЕЛЬСТВОМ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A37E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 Санкт-Петербург</w:t>
            </w:r>
          </w:p>
        </w:tc>
      </w:tr>
    </w:tbl>
    <w:p w:rsidR="00000000" w:rsidRDefault="00A37E9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37E9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37E9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37E9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дисконтные неконвертируемые бездокументарные с централизованным учетом прав серии С-1-1642 (далее – «Облигации»).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6-1642-01000-B-001P от 01.09.2025.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Количество размещаемых эмиссионных ценных бумаг: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 Облигаций 1 000 000 (один миллион) штук.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3.1. Дата начала размещения цен</w:t>
      </w:r>
      <w:r>
        <w:rPr>
          <w:sz w:val="22"/>
          <w:szCs w:val="22"/>
        </w:rPr>
        <w:t xml:space="preserve">ных бумаг: </w:t>
      </w:r>
      <w:r>
        <w:rPr>
          <w:b/>
          <w:bCs/>
          <w:i/>
          <w:iCs/>
          <w:sz w:val="22"/>
          <w:szCs w:val="22"/>
        </w:rPr>
        <w:t>2 октября 2025 г. (далее – «Дата начала размещения»).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</w:t>
      </w:r>
      <w:r>
        <w:rPr>
          <w:b/>
          <w:bCs/>
          <w:i/>
          <w:iCs/>
          <w:sz w:val="22"/>
          <w:szCs w:val="22"/>
        </w:rPr>
        <w:t>нении даты начала размещения Облигаций, определенному законодательством Российской Федерации.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A37E92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размещения Облигаций совпадает с датой н</w:t>
      </w:r>
      <w:r>
        <w:rPr>
          <w:b/>
          <w:bCs/>
          <w:i/>
          <w:iCs/>
          <w:sz w:val="22"/>
          <w:szCs w:val="22"/>
        </w:rPr>
        <w:t>ачала размещения Облигаций.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траншами.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приобретения ценных бумаг при их размещении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являющиеся квал</w:t>
      </w:r>
      <w:r>
        <w:rPr>
          <w:b/>
          <w:bCs/>
          <w:i/>
          <w:iCs/>
          <w:sz w:val="22"/>
          <w:szCs w:val="22"/>
        </w:rPr>
        <w:t>ифицированными инвесторами в соответствии со ст. 51.2 Закона о РЦБ (далее также – «Потенциальные приобретатели»).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 Порядок размещения ценных бумаг.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4.2.1. Указываются порядок и условия заключения договоров, направленных на отчуждение ценных бумаг первы</w:t>
      </w:r>
      <w:r>
        <w:rPr>
          <w:sz w:val="22"/>
          <w:szCs w:val="22"/>
        </w:rPr>
        <w:t xml:space="preserve">м владельцам в ходе их размещения (форма и способ заключения договоров, место и дата (порядок определения даты) их заключения, а в случае, если заключение договоров осуществляется посредством подачи и удовлетворения заявок - порядок и способ подачи </w:t>
      </w:r>
      <w:r>
        <w:rPr>
          <w:sz w:val="22"/>
          <w:szCs w:val="22"/>
        </w:rPr>
        <w:lastRenderedPageBreak/>
        <w:t>(направ</w:t>
      </w:r>
      <w:r>
        <w:rPr>
          <w:sz w:val="22"/>
          <w:szCs w:val="22"/>
        </w:rPr>
        <w:t>ления) заявок, требования к содержанию заявок и срок их рассмотрения, способ и срок направления уведомлений (сообщений) об удовлетворении (об отказе в удовлетворении) заявок):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проводится по цене размещения Облигаций, установленной в п.</w:t>
      </w:r>
      <w:r>
        <w:rPr>
          <w:b/>
          <w:bCs/>
          <w:i/>
          <w:iCs/>
          <w:sz w:val="22"/>
          <w:szCs w:val="22"/>
        </w:rPr>
        <w:t xml:space="preserve"> 4.3 настоящего документа (далее - «Цена размещения»).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размещении Облигаций заключаются в Публичном акционерном обществе «Московская Биржа ММВБ-РТС» (далее – «Биржа») путём удовлетворения заявок на приобретение Облигаций, поданных с использовани</w:t>
      </w:r>
      <w:r>
        <w:rPr>
          <w:b/>
          <w:bCs/>
          <w:i/>
          <w:iCs/>
          <w:sz w:val="22"/>
          <w:szCs w:val="22"/>
        </w:rPr>
        <w:t xml:space="preserve">ем системы торгов Биржи (далее – «Система торгов») в соответствии с Правилами проведения торгов на фондовом рынке, рынке депозитов и рынке кредитов Публичного акционерного общества «Московская Биржа ММВБ-РТС» (далее – «Правила Биржи»), зарегистрированными </w:t>
      </w:r>
      <w:r>
        <w:rPr>
          <w:b/>
          <w:bCs/>
          <w:i/>
          <w:iCs/>
          <w:sz w:val="22"/>
          <w:szCs w:val="22"/>
        </w:rPr>
        <w:t>в установленном законодательством Российской Федерации порядке и действующими на дату проведения торгов.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</w:t>
      </w:r>
      <w:r>
        <w:rPr>
          <w:b/>
          <w:bCs/>
          <w:i/>
          <w:iCs/>
          <w:sz w:val="22"/>
          <w:szCs w:val="22"/>
        </w:rPr>
        <w:t>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</w:t>
      </w:r>
      <w:r>
        <w:rPr>
          <w:b/>
          <w:bCs/>
          <w:i/>
          <w:iCs/>
          <w:sz w:val="22"/>
          <w:szCs w:val="22"/>
        </w:rPr>
        <w:t xml:space="preserve">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A37E92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Потенциальн</w:t>
      </w:r>
      <w:r>
        <w:rPr>
          <w:b/>
          <w:bCs/>
          <w:i/>
          <w:iCs/>
          <w:sz w:val="22"/>
          <w:szCs w:val="22"/>
        </w:rPr>
        <w:t>ый приобретатель не является участником торгов (далее – Участник торгов), он должен заключить соответствующий договор с любым Участником торгов, и дать ему поручение на приобретение Облигаций. Потенциальный приобретатель Облигаций, являющийся Участником то</w:t>
      </w:r>
      <w:r>
        <w:rPr>
          <w:b/>
          <w:bCs/>
          <w:i/>
          <w:iCs/>
          <w:sz w:val="22"/>
          <w:szCs w:val="22"/>
        </w:rPr>
        <w:t>ргов, действует самостоятельно.</w:t>
      </w:r>
    </w:p>
    <w:p w:rsidR="00000000" w:rsidRDefault="00A37E92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Потенциальный приобретатель обязан открыть соответствующий счёт депо в НРД или в другом Депозитарии.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Адресные заявки на </w:t>
      </w:r>
      <w:r>
        <w:rPr>
          <w:b/>
          <w:bCs/>
          <w:i/>
          <w:iCs/>
          <w:sz w:val="22"/>
          <w:szCs w:val="22"/>
        </w:rPr>
        <w:t>покупку Облигаций и адресные заявки на продажу Облигаций подаются с использованием Системы торгов в электронном виде, при этом простая письменная форма договора считается соблюденной. Моментом заключения сделки по размещению Облигаций считается момент ее р</w:t>
      </w:r>
      <w:r>
        <w:rPr>
          <w:b/>
          <w:bCs/>
          <w:i/>
          <w:iCs/>
          <w:sz w:val="22"/>
          <w:szCs w:val="22"/>
        </w:rPr>
        <w:t>егистрации в Системе торгов.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(сообщения) об удовлетворении (об отказе в удовлетворении) заявок, Участникам торгов не направляются.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приобретателей на</w:t>
      </w:r>
      <w:r>
        <w:rPr>
          <w:b/>
          <w:bCs/>
          <w:i/>
          <w:iCs/>
          <w:sz w:val="22"/>
          <w:szCs w:val="22"/>
        </w:rPr>
        <w:t xml:space="preserve"> приобретение Облигаций по фиксированной цене (далее – «Размещение Облигаций путем сбора адресных заявок со стороны приобретателей на приобретение Облигаций по фиксированной цене»), с предварительным сбором заявок на приобретение Облигаций на организованны</w:t>
      </w:r>
      <w:r>
        <w:rPr>
          <w:b/>
          <w:bCs/>
          <w:i/>
          <w:iCs/>
          <w:sz w:val="22"/>
          <w:szCs w:val="22"/>
        </w:rPr>
        <w:t>х торгах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(оферты) о приобретении разм</w:t>
      </w:r>
      <w:r>
        <w:rPr>
          <w:b/>
          <w:bCs/>
          <w:i/>
          <w:iCs/>
          <w:sz w:val="22"/>
          <w:szCs w:val="22"/>
        </w:rPr>
        <w:t>ещаемых ценных бумаг. Адресные заявки со стороны приобретателей являются офертами Участников торгов на приобретение размещаемых Облигаций.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Ответ о принятии предложений (оферт) о приобретении размещаемых Облигаций направляется Участникам торгов, определяемы</w:t>
      </w:r>
      <w:r>
        <w:rPr>
          <w:b/>
          <w:bCs/>
          <w:i/>
          <w:iCs/>
          <w:sz w:val="22"/>
          <w:szCs w:val="22"/>
        </w:rPr>
        <w:t xml:space="preserve">м по усмотрению Эмитента из числа Участников торгов, сделавших такие предложения (оферты) путем выставления встречных адресных заявок, с указанием количества бумаг, которое Эмитент желает продать данному приобретателю. При этом Участник торгов соглашается </w:t>
      </w:r>
      <w:r>
        <w:rPr>
          <w:b/>
          <w:bCs/>
          <w:i/>
          <w:iCs/>
          <w:sz w:val="22"/>
          <w:szCs w:val="22"/>
        </w:rPr>
        <w:t>с тем, что его заявка может быть отклонена, акцептована полностью или в части.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</w:t>
      </w:r>
      <w:r>
        <w:rPr>
          <w:b/>
          <w:bCs/>
          <w:i/>
          <w:iCs/>
          <w:sz w:val="22"/>
          <w:szCs w:val="22"/>
        </w:rPr>
        <w:t>ций с использованием Системы торгов, как за свой счет, так и за счет и по поручению клиентов в адрес Эмитента.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адрес Эмитента.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должна содержать следующие значимые условия: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(53.9% от номинальной стоимости Облигаций);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</w:t>
      </w:r>
      <w:r>
        <w:rPr>
          <w:b/>
          <w:bCs/>
          <w:i/>
          <w:iCs/>
          <w:sz w:val="22"/>
          <w:szCs w:val="22"/>
        </w:rPr>
        <w:t>нтроля обеспечения, а надлежащей датой исполнения сделки с ценными бумагами является дата заключения сделки;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</w:t>
      </w:r>
      <w:r>
        <w:rPr>
          <w:b/>
          <w:bCs/>
          <w:i/>
          <w:iCs/>
          <w:sz w:val="22"/>
          <w:szCs w:val="22"/>
        </w:rPr>
        <w:t>ций должно быть указано максимальное количество Облигаций, которое Потенциальный приобретатель хотел бы приобрести по Цене размещения и в соответствии с Сообщением о ключевых условиях выпуска.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начала размещения Облигаций после проведения процедуры</w:t>
      </w:r>
      <w:r>
        <w:rPr>
          <w:b/>
          <w:bCs/>
          <w:i/>
          <w:iCs/>
          <w:sz w:val="22"/>
          <w:szCs w:val="22"/>
        </w:rPr>
        <w:t xml:space="preserve"> активации заявок, поданных Участниками торгов в Период предварительного сбора заявок, и по окончании периода подачи заявок на приобретение Облигаций, выставленных в Дату начала размещения Облигаций, Биржа составляет сводный реестр заявок на приобретение ц</w:t>
      </w:r>
      <w:r>
        <w:rPr>
          <w:b/>
          <w:bCs/>
          <w:i/>
          <w:iCs/>
          <w:sz w:val="22"/>
          <w:szCs w:val="22"/>
        </w:rPr>
        <w:t>енных бумаг (далее – «Сводный реестр заявок») и передает его Эмитенту.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Сводный реестр заявок содержит все значимые условия каждой заявки – цену приобретения, количество ценных бумаг, дату и время поступления заявки, номер заявки, а также иные реквизиты в с</w:t>
      </w:r>
      <w:r>
        <w:rPr>
          <w:b/>
          <w:bCs/>
          <w:i/>
          <w:iCs/>
          <w:sz w:val="22"/>
          <w:szCs w:val="22"/>
        </w:rPr>
        <w:t>оответствии с Правилами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На основании анализа Сводного реестра заявок Эмитент определяет приобретателей, которым он намеревается продать Облигации, а также количество Облигаций, которые он намеревается продать данным приобретателям. 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</w:t>
      </w:r>
      <w:r>
        <w:rPr>
          <w:b/>
          <w:bCs/>
          <w:i/>
          <w:iCs/>
          <w:sz w:val="22"/>
          <w:szCs w:val="22"/>
        </w:rPr>
        <w:t>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Облигации. Удовлетворение заявок не допускается в отношении иностранных лиц, связанных</w:t>
      </w:r>
      <w:r>
        <w:rPr>
          <w:b/>
          <w:bCs/>
          <w:i/>
          <w:iCs/>
          <w:sz w:val="22"/>
          <w:szCs w:val="22"/>
        </w:rPr>
        <w:t xml:space="preserve">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</w:t>
      </w:r>
      <w:r>
        <w:rPr>
          <w:b/>
          <w:bCs/>
          <w:i/>
          <w:iCs/>
          <w:sz w:val="22"/>
          <w:szCs w:val="22"/>
        </w:rPr>
        <w:t>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</w:t>
      </w:r>
      <w:r>
        <w:rPr>
          <w:b/>
          <w:bCs/>
          <w:i/>
          <w:iCs/>
          <w:sz w:val="22"/>
          <w:szCs w:val="22"/>
        </w:rPr>
        <w:t>ственного ведения ими хозяйственной деятельности.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Факт невыставления встречной адресной заявки Эмитентом будет означать, что Эмитентом было принято решение об отклонении Заявки. Неудовлетворенные заявки Участников торгов отклоняются Эмитентом.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После удовле</w:t>
      </w:r>
      <w:r>
        <w:rPr>
          <w:b/>
          <w:bCs/>
          <w:i/>
          <w:iCs/>
          <w:sz w:val="22"/>
          <w:szCs w:val="22"/>
        </w:rPr>
        <w:t>творения заявок, поданных в Период предварительного сбора заявок и поданных в течение периода подачи заявок в Дату начала размещения Облигаций, в случае неполного размещения выпуска Облигаций по его итогам, Участники торгов, действующие как за свой счет, т</w:t>
      </w:r>
      <w:r>
        <w:rPr>
          <w:b/>
          <w:bCs/>
          <w:i/>
          <w:iCs/>
          <w:sz w:val="22"/>
          <w:szCs w:val="22"/>
        </w:rPr>
        <w:t>ак и за счет и по поручению Потенциальных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</w:t>
      </w:r>
      <w:r>
        <w:rPr>
          <w:b/>
          <w:bCs/>
          <w:i/>
          <w:iCs/>
          <w:sz w:val="22"/>
          <w:szCs w:val="22"/>
        </w:rPr>
        <w:t>меревается продать Облигации, а также количество Облигаций, которые он намеревается продать данным приобретателям.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заключает сделки купли-продажи Облигаций путем подачи в Систему торгов встречных заявок по отношению к Заявкам, поданным Участниками </w:t>
      </w:r>
      <w:r>
        <w:rPr>
          <w:b/>
          <w:bCs/>
          <w:i/>
          <w:iCs/>
          <w:sz w:val="22"/>
          <w:szCs w:val="22"/>
        </w:rPr>
        <w:t>торгов, которым Эмитент намеревается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</w:t>
      </w:r>
      <w:r>
        <w:rPr>
          <w:b/>
          <w:bCs/>
          <w:i/>
          <w:iCs/>
          <w:sz w:val="22"/>
          <w:szCs w:val="22"/>
        </w:rPr>
        <w:t xml:space="preserve">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</w:t>
      </w:r>
      <w:r>
        <w:rPr>
          <w:b/>
          <w:bCs/>
          <w:i/>
          <w:iCs/>
          <w:sz w:val="22"/>
          <w:szCs w:val="22"/>
        </w:rPr>
        <w:t>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Приобретение Облигаций Эмитента в ходе их размещения не может быть осуществлено за счет Эмитента.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</w:t>
      </w:r>
      <w:r>
        <w:rPr>
          <w:sz w:val="22"/>
          <w:szCs w:val="22"/>
        </w:rPr>
        <w:t xml:space="preserve">права приобретения ценных бумаг, предусмотренного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</w:t>
      </w:r>
      <w:r>
        <w:rPr>
          <w:sz w:val="22"/>
          <w:szCs w:val="22"/>
        </w:rPr>
        <w:t>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</w:t>
      </w:r>
      <w:r>
        <w:rPr>
          <w:b/>
          <w:bCs/>
          <w:i/>
          <w:iCs/>
          <w:sz w:val="22"/>
          <w:szCs w:val="22"/>
        </w:rPr>
        <w:t>ный депозитарий».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Срок и иные условия учета прав на Облигации</w:t>
      </w:r>
      <w:r>
        <w:rPr>
          <w:b/>
          <w:bCs/>
          <w:i/>
          <w:iCs/>
          <w:sz w:val="22"/>
          <w:szCs w:val="22"/>
        </w:rPr>
        <w:t xml:space="preserve">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4.2.4. В случае размещения акционерным обществом акций, ценных бумаг, ко</w:t>
      </w:r>
      <w:r>
        <w:rPr>
          <w:sz w:val="22"/>
          <w:szCs w:val="22"/>
        </w:rPr>
        <w:t>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</w:t>
      </w:r>
      <w:r>
        <w:rPr>
          <w:sz w:val="22"/>
          <w:szCs w:val="22"/>
        </w:rPr>
        <w:t xml:space="preserve">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наименование (для некоммерчески</w:t>
      </w:r>
      <w:r>
        <w:rPr>
          <w:sz w:val="22"/>
          <w:szCs w:val="22"/>
        </w:rPr>
        <w:t>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наименование: </w:t>
      </w:r>
      <w:r>
        <w:rPr>
          <w:b/>
          <w:bCs/>
          <w:i/>
          <w:iCs/>
          <w:sz w:val="22"/>
          <w:szCs w:val="22"/>
        </w:rPr>
        <w:t>Пу</w:t>
      </w:r>
      <w:r>
        <w:rPr>
          <w:b/>
          <w:bCs/>
          <w:i/>
          <w:iCs/>
          <w:sz w:val="22"/>
          <w:szCs w:val="22"/>
        </w:rPr>
        <w:t>бличное акционерное общество «Московская Биржа ММВБ-РТС»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владельцу, или собирать п</w:t>
      </w:r>
      <w:r>
        <w:rPr>
          <w:sz w:val="22"/>
          <w:szCs w:val="22"/>
        </w:rPr>
        <w:t xml:space="preserve">редварительные заявки на приобретение размещаемых ценных бумаг, указывается порядок заключения таких предварительных договоров или порядок подачи таких предварительных заявок: 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намеревается предварительно собирать на организованных торгах Биржи зая</w:t>
      </w:r>
      <w:r>
        <w:rPr>
          <w:b/>
          <w:bCs/>
          <w:i/>
          <w:iCs/>
          <w:sz w:val="22"/>
          <w:szCs w:val="22"/>
        </w:rPr>
        <w:t>вки на приобретение размещаемых Облигаций в соответствии с порядком, указанным ниже. Участники торгов могут подавать адресные заявки на покупку Облигаций в Период предварительного сбора заявок (как он определен ниже).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адресных заявок</w:t>
      </w:r>
      <w:r>
        <w:rPr>
          <w:b/>
          <w:bCs/>
          <w:i/>
          <w:iCs/>
          <w:sz w:val="22"/>
          <w:szCs w:val="22"/>
        </w:rPr>
        <w:t xml:space="preserve"> со стороны покупателей на приобретение Облигаций осуществляется до Даты начала размещения Облигаций на организованных торгах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Предварительный сбор заявок происходит ежедневно, в каждый день, в который Биржей проводятся организованные торги на фонд</w:t>
      </w:r>
      <w:r>
        <w:rPr>
          <w:b/>
          <w:bCs/>
          <w:i/>
          <w:iCs/>
          <w:sz w:val="22"/>
          <w:szCs w:val="22"/>
        </w:rPr>
        <w:t>овом рынке (далее – «Рабочий день Биржи»), приходящийся на следующий период (ранее и далее - «Период предварительного сбора заявок»).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Периода предварительного сбора заявок: 29 сентября 2025 г.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Периода предварительного сбора заяво</w:t>
      </w:r>
      <w:r>
        <w:rPr>
          <w:b/>
          <w:bCs/>
          <w:i/>
          <w:iCs/>
          <w:sz w:val="22"/>
          <w:szCs w:val="22"/>
        </w:rPr>
        <w:t>к: 30 сентября 2025 г.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сбора предварительных заявок: в каждый Рабочий день Биржи в течение Периода предварительного сбора заявок с 10:00 по московскому времени до 18:30 по московскому времени (включая, во избежание сомнений, Дату начала Периода пред</w:t>
      </w:r>
      <w:r>
        <w:rPr>
          <w:b/>
          <w:bCs/>
          <w:i/>
          <w:iCs/>
          <w:sz w:val="22"/>
          <w:szCs w:val="22"/>
        </w:rPr>
        <w:t>варительного сбора заявок и Дату окончания Периода предварительного сбора заявок).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Период предварительного сбора заявок, но до Даты начала размещения Участники торгов, являющиеся Потенциальными приобретателями и (или) действующие за счет Потенциальных пр</w:t>
      </w:r>
      <w:r>
        <w:rPr>
          <w:b/>
          <w:bCs/>
          <w:i/>
          <w:iCs/>
          <w:sz w:val="22"/>
          <w:szCs w:val="22"/>
        </w:rPr>
        <w:t>иобретателей, подают в адрес Эмитента заявки с указанием Даты активации, как она определена ниже (ранее и далее – «Дата активации»), с использованием Системы торгов в соответствии с Правилами Биржи и/или иными документами, регулирующими деятельность Биржи.</w:t>
      </w:r>
      <w:r>
        <w:rPr>
          <w:b/>
          <w:bCs/>
          <w:i/>
          <w:iCs/>
          <w:sz w:val="22"/>
          <w:szCs w:val="22"/>
        </w:rPr>
        <w:t xml:space="preserve"> Порядок подачи заявок устанавливается Эмитентом по согласованию c Биржей.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Датой активации является Дата начала размещения Облигаций.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Поданные заявки со стороны Участников торгов являются офертами о заключении договоров купли-продажи, направленных на отчу</w:t>
      </w:r>
      <w:r>
        <w:rPr>
          <w:b/>
          <w:bCs/>
          <w:i/>
          <w:iCs/>
          <w:sz w:val="22"/>
          <w:szCs w:val="22"/>
        </w:rPr>
        <w:t>ждение размещаемых Облигаций их первому владельцу.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этом заключение сделки по размещению Облигаций на основании заявки, поданной в Период предварительного сбора заявок в порядке и на условиях, установленных ниже, осуществляется в Дату начала размещени</w:t>
      </w:r>
      <w:r>
        <w:rPr>
          <w:b/>
          <w:bCs/>
          <w:i/>
          <w:iCs/>
          <w:sz w:val="22"/>
          <w:szCs w:val="22"/>
        </w:rPr>
        <w:t>я Облигаций.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Облигаций, которая выставляется в Период предварительного сбора заявок, должна содержать следующие значимые условия: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(53.9% от номинальной стоимости Облигации);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Облигаций;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</w:t>
      </w:r>
      <w:r>
        <w:rPr>
          <w:b/>
          <w:bCs/>
          <w:i/>
          <w:iCs/>
          <w:sz w:val="22"/>
          <w:szCs w:val="22"/>
        </w:rPr>
        <w:t>ов, используемый при заключении сделки с ценными бумагами, подлежащей включению в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контроля обеспечения</w:t>
      </w:r>
      <w:r>
        <w:rPr>
          <w:b/>
          <w:bCs/>
          <w:i/>
          <w:iCs/>
          <w:sz w:val="22"/>
          <w:szCs w:val="22"/>
        </w:rPr>
        <w:t>, а надлежащей датой исполнения сделки с ценными бумагами является дата заключения сделки;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Дата активации заявки;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 Облигаций.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В качестве </w:t>
      </w:r>
      <w:r>
        <w:rPr>
          <w:b/>
          <w:bCs/>
          <w:i/>
          <w:iCs/>
          <w:sz w:val="22"/>
          <w:szCs w:val="22"/>
        </w:rPr>
        <w:t>количества Облигаций должно быть указано максимальное количество Облигаций, которое Потенциальный приобретатель обязуется приобрести по Цене размещения.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Даты активации заявки указывается Дата начала размещения Облигаций.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Заявки, не соответств</w:t>
      </w:r>
      <w:r>
        <w:rPr>
          <w:b/>
          <w:bCs/>
          <w:i/>
          <w:iCs/>
          <w:sz w:val="22"/>
          <w:szCs w:val="22"/>
        </w:rPr>
        <w:t>ующие изложенным выше требованиям, не принимаются.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предварительного сбора заявок Участники торгов не могут изменить или снять поданные ими заявки. Процедура контроля обеспечения по заявке, поданной в Период предварительного сбора заяво</w:t>
      </w:r>
      <w:r>
        <w:rPr>
          <w:b/>
          <w:bCs/>
          <w:i/>
          <w:iCs/>
          <w:sz w:val="22"/>
          <w:szCs w:val="22"/>
        </w:rPr>
        <w:t>к, осуществляется в соответствии с кодом расчетов в Дату активации такой заявки. В случае, если заявка не проходит проверку обеспечения, данная заявка снимается Биржей.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привлечением б</w:t>
      </w:r>
      <w:r>
        <w:rPr>
          <w:sz w:val="22"/>
          <w:szCs w:val="22"/>
        </w:rPr>
        <w:t>рокеров,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указываютс</w:t>
      </w:r>
      <w:r>
        <w:rPr>
          <w:sz w:val="22"/>
          <w:szCs w:val="22"/>
        </w:rPr>
        <w:t>я: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ценных б</w:t>
      </w:r>
      <w:r>
        <w:rPr>
          <w:sz w:val="22"/>
          <w:szCs w:val="22"/>
        </w:rPr>
        <w:t xml:space="preserve">умаг предполагается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 наличии у эмитента сведений о намерении владельцев ранее</w:t>
      </w:r>
      <w:r>
        <w:rPr>
          <w:sz w:val="22"/>
          <w:szCs w:val="22"/>
        </w:rPr>
        <w:t xml:space="preserve"> размещенных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ценных бу</w:t>
      </w:r>
      <w:r>
        <w:rPr>
          <w:sz w:val="22"/>
          <w:szCs w:val="22"/>
        </w:rPr>
        <w:t xml:space="preserve">маг, ранее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4.2.9. В случае, если эмитент в соответствии с Федеральным законом «О порядке осуществления иностранных инвестиций в х</w:t>
      </w:r>
      <w:r>
        <w:rPr>
          <w:sz w:val="22"/>
          <w:szCs w:val="22"/>
        </w:rPr>
        <w:t>озяйственные общества, имеющие стратегическое значение для 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указывается данно</w:t>
      </w:r>
      <w:r>
        <w:rPr>
          <w:sz w:val="22"/>
          <w:szCs w:val="22"/>
        </w:rPr>
        <w:t xml:space="preserve">е обстоятельство: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являющегося хоз</w:t>
      </w:r>
      <w:r>
        <w:rPr>
          <w:sz w:val="22"/>
          <w:szCs w:val="22"/>
        </w:rPr>
        <w:t>яйственным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соответствии с Ф</w:t>
      </w:r>
      <w:r>
        <w:rPr>
          <w:sz w:val="22"/>
          <w:szCs w:val="22"/>
        </w:rPr>
        <w:t xml:space="preserve">едеральным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случае если приобретение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</w:t>
      </w:r>
      <w:r>
        <w:rPr>
          <w:sz w:val="22"/>
          <w:szCs w:val="22"/>
        </w:rPr>
        <w:t xml:space="preserve">ой финансовой организации - 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</w:t>
      </w:r>
      <w:r>
        <w:rPr>
          <w:sz w:val="22"/>
          <w:szCs w:val="22"/>
        </w:rPr>
        <w:t xml:space="preserve">ацию или некредитную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</w:t>
      </w:r>
      <w:r>
        <w:rPr>
          <w:sz w:val="22"/>
          <w:szCs w:val="22"/>
        </w:rPr>
        <w:t>стниками инвестиционной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полное фирменное наименование, основной государственный регистрационный номер и место нахож</w:t>
      </w:r>
      <w:r>
        <w:rPr>
          <w:sz w:val="22"/>
          <w:szCs w:val="22"/>
        </w:rPr>
        <w:t xml:space="preserve">дения оператора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 случае если акции подлежат размещению во исполнение договора конвертируемого займа, ука</w:t>
      </w:r>
      <w:r>
        <w:rPr>
          <w:sz w:val="22"/>
          <w:szCs w:val="22"/>
        </w:rPr>
        <w:t>зываются реквизиты такого договора, а также информация, которая в соответствии с пунктом 7 статьи 32.3 Федерального закона "Об акционерных обществах" (Собрание законодательства Российской Федерации, 1996, N 1 ст. 1; 2021, N 27, ст. 5182) подлежит включению</w:t>
      </w:r>
      <w:r>
        <w:rPr>
          <w:sz w:val="22"/>
          <w:szCs w:val="22"/>
        </w:rPr>
        <w:t xml:space="preserve"> в решение об увеличении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4.2.13. В случае если осуществление (исполнение) сделки (операции), направленной на отчужден</w:t>
      </w:r>
      <w:r>
        <w:rPr>
          <w:sz w:val="22"/>
          <w:szCs w:val="22"/>
        </w:rPr>
        <w:t xml:space="preserve">ие ценных бумаг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</w:t>
      </w:r>
      <w:r>
        <w:rPr>
          <w:b/>
          <w:bCs/>
          <w:i/>
          <w:iCs/>
          <w:sz w:val="22"/>
          <w:szCs w:val="22"/>
        </w:rPr>
        <w:t>ется.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 (цены) или порядок определения цены размещения ценных бумаг: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Цена размещения Облигаций устанавливается равной 539 (Пятистам тридцати девяти) российских рублей за одну Облигацию, что соответствует 53.9 (Пятидесяти трем, 9/10) процентам от но</w:t>
      </w:r>
      <w:r>
        <w:rPr>
          <w:b/>
          <w:bCs/>
          <w:i/>
          <w:iCs/>
          <w:sz w:val="22"/>
          <w:szCs w:val="22"/>
        </w:rPr>
        <w:t>минальной стоимости Облигации.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при размещении ценных бумаг предоставляется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</w:t>
      </w:r>
      <w:r>
        <w:rPr>
          <w:sz w:val="22"/>
          <w:szCs w:val="22"/>
        </w:rPr>
        <w:t xml:space="preserve">нное право. </w:t>
      </w:r>
      <w:r>
        <w:rPr>
          <w:b/>
          <w:bCs/>
          <w:i/>
          <w:iCs/>
          <w:sz w:val="22"/>
          <w:szCs w:val="22"/>
        </w:rPr>
        <w:t>Преимущественное право приобретения Облигаций не предусмотрено.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Порядок осуществления преимущественного права приобретения размещаемых ценных бумаг: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порядок и срок оплаты ценных бумаг: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4.5.1. Указываются способ </w:t>
      </w:r>
      <w:r>
        <w:rPr>
          <w:sz w:val="22"/>
          <w:szCs w:val="22"/>
        </w:rPr>
        <w:t>оплаты размещаемых ценных бумаг (денежными средствами, денежными средствами, включая возможность оплаты размещаемых ценных бумаг путем зачета денежных требований, неденежными средствами).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оплачиваются в соответствии с правилами клиринга Клирингов</w:t>
      </w:r>
      <w:r>
        <w:rPr>
          <w:b/>
          <w:bCs/>
          <w:i/>
          <w:iCs/>
          <w:sz w:val="22"/>
          <w:szCs w:val="22"/>
        </w:rPr>
        <w:t>ой организации в денежной форме в безналичном порядке в рублях Российской Федерации.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4.5.2. В случае оплаты размещаемых ценных бумаг (за исключением акций, подлежащих размещению во исполнение договора конвертируемого займа) денежными средствами указываются</w:t>
      </w:r>
      <w:r>
        <w:rPr>
          <w:sz w:val="22"/>
          <w:szCs w:val="22"/>
        </w:rPr>
        <w:t>: форма оплаты (наличная или безналичная), полное фирменное наименование кредитных организаций, их места нахождения, банковские реквизиты счетов эмитента, на которые должны перечисляться денежные средства, поступающие в оплату ценных бумаг, полное или сокр</w:t>
      </w:r>
      <w:r>
        <w:rPr>
          <w:sz w:val="22"/>
          <w:szCs w:val="22"/>
        </w:rPr>
        <w:t>ащенное наименование получателя денежных средств и его идентификационный номер налогоплательщика, адреса пунктов оплаты (в случае наличной формы оплаты за ценные бумаги).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При приобретении Облигации оплачиваются денежными средствами в безналичном порядке в </w:t>
      </w:r>
      <w:r>
        <w:rPr>
          <w:b/>
          <w:bCs/>
          <w:i/>
          <w:iCs/>
          <w:sz w:val="22"/>
          <w:szCs w:val="22"/>
        </w:rPr>
        <w:t>рублях Российской Федерации.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зачисляются на счет Эмитента по следующим реквизитам: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Кредитная </w:t>
      </w:r>
      <w:r>
        <w:rPr>
          <w:sz w:val="22"/>
          <w:szCs w:val="22"/>
        </w:rPr>
        <w:t>организация: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расчетный депозитарий».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</w:t>
      </w:r>
      <w:r>
        <w:rPr>
          <w:b/>
          <w:bCs/>
          <w:i/>
          <w:iCs/>
          <w:sz w:val="22"/>
          <w:szCs w:val="22"/>
        </w:rPr>
        <w:t>ия, город Москва.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для направления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город Москва, ул. Спартаковская, дом 12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России по ЦФО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</w:t>
      </w:r>
      <w:r>
        <w:rPr>
          <w:sz w:val="22"/>
          <w:szCs w:val="22"/>
        </w:rPr>
        <w:t>едствами указываются имущество, которым могут оплачиваться ценные бумаги выпуска, условия оплаты, включая документы, оформляемые при такой оплате (акты приема-передачи имущества, распоряжение регистратору или депозитарию, осуществляющему учет прав на ценны</w:t>
      </w:r>
      <w:r>
        <w:rPr>
          <w:sz w:val="22"/>
          <w:szCs w:val="22"/>
        </w:rPr>
        <w:t>е бумаги, которыми оплачиваются размещаемые ценные бумаги, иное), документы, которыми подтверждается осуществление такой оплаты (выписки из государственных реестров, иное), а также сведения о лице (лицах), привлекаемом для определения рыночной стоимости та</w:t>
      </w:r>
      <w:r>
        <w:rPr>
          <w:sz w:val="22"/>
          <w:szCs w:val="22"/>
        </w:rPr>
        <w:t xml:space="preserve">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размещаемых посредством закрытой подписки, путем зачета денежных требований к акционерному обществу - эмитенту указывается порядок направления эмитенту заявления (заключения с эмите</w:t>
      </w:r>
      <w:r>
        <w:rPr>
          <w:sz w:val="22"/>
          <w:szCs w:val="22"/>
        </w:rPr>
        <w:t xml:space="preserve">нтом соглашения) о таком зачете: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размещаемых ценных бумаг: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«поставка против платежа».</w:t>
      </w:r>
    </w:p>
    <w:p w:rsidR="00000000" w:rsidRDefault="00A37E92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</w:t>
      </w:r>
      <w:r>
        <w:rPr>
          <w:b/>
          <w:bCs/>
          <w:i/>
          <w:iCs/>
          <w:sz w:val="22"/>
          <w:szCs w:val="22"/>
        </w:rPr>
        <w:t>ежных средств по торговым счетам участников клиринга производится только после проверки и удостоверения (подтверждения) наличия на торговых счетах участников клиринга достаточного количества ценных бумаг и денежных средств, предназначенных для исполнения з</w:t>
      </w:r>
      <w:r>
        <w:rPr>
          <w:b/>
          <w:bCs/>
          <w:i/>
          <w:iCs/>
          <w:sz w:val="22"/>
          <w:szCs w:val="22"/>
        </w:rPr>
        <w:t>аключенных сделок. Таким образом, денежные расчеты при размещении Облигаций по заключенным сделкам купли-продажи Облигаций осуществляются в день заключения соответствующих сделок.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</w:t>
      </w:r>
      <w:r>
        <w:rPr>
          <w:sz w:val="22"/>
          <w:szCs w:val="22"/>
        </w:rPr>
        <w:t xml:space="preserve"> ценных бумаг: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ценные бумаги выпуска (дополнительного выпуска) размещаются путем открытой подписки и (или) регистрация выпуска (дополнительного выпуска) ценных бумаг сопровождается регистрацией проспекта ценных бумаг, указывается, что эмитент</w:t>
      </w:r>
      <w:r>
        <w:rPr>
          <w:sz w:val="22"/>
          <w:szCs w:val="22"/>
        </w:rPr>
        <w:t xml:space="preserve"> раскрывает информацию о настоящем выпуске (дополнительном выпуске) ценных бумаг в порядке, предусмотренном Федеральным законом "О рынке ценных бумаг".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</w:t>
      </w:r>
      <w:r>
        <w:rPr>
          <w:b/>
          <w:bCs/>
          <w:i/>
          <w:iCs/>
          <w:sz w:val="22"/>
          <w:szCs w:val="22"/>
        </w:rPr>
        <w:t>ства РФ о ценных бумагах и нормативных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</w:t>
      </w:r>
      <w:r>
        <w:rPr>
          <w:b/>
          <w:bCs/>
          <w:i/>
          <w:iCs/>
          <w:sz w:val="22"/>
          <w:szCs w:val="22"/>
        </w:rPr>
        <w:t>ормативными правовыми актами Банка России, а также Решением о выпуске.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 усмотрению эмитента указывается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</w:t>
      </w:r>
      <w:r>
        <w:rPr>
          <w:sz w:val="22"/>
          <w:szCs w:val="22"/>
        </w:rPr>
        <w:t>ормативными актами Банка России.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если информация о выпуске (дополнительном выпуске)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</w:t>
      </w:r>
      <w:r>
        <w:rPr>
          <w:sz w:val="22"/>
          <w:szCs w:val="22"/>
        </w:rPr>
        <w:t>ае если информация раскрывается путем опубликования на странице в сети "Интернет", указывается адрес такой страницы в сети "Интернет".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</w:t>
      </w:r>
      <w:r>
        <w:rPr>
          <w:sz w:val="22"/>
          <w:szCs w:val="22"/>
        </w:rPr>
        <w:t>ацию в форме отчета эмитента и сообщений о существенных фактах, указывается данное обстоятельство.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раскрывать информацию в форме отчета эмитента и сообщений о существенных фактах.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6. Сведения о документе, содержащем фактические итоги размеще</w:t>
      </w:r>
      <w:r>
        <w:rPr>
          <w:sz w:val="22"/>
          <w:szCs w:val="22"/>
        </w:rPr>
        <w:t xml:space="preserve">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 Федеральным законом от 22.04.1996 № 39-ФЗ «О рынке ценных бумаг», депозитарием, осуществляющим централизованный учет прав на Облигации, в Банк России предст</w:t>
      </w:r>
      <w:r>
        <w:rPr>
          <w:b/>
          <w:bCs/>
          <w:i/>
          <w:iCs/>
          <w:sz w:val="22"/>
          <w:szCs w:val="22"/>
        </w:rPr>
        <w:t>авляется уведомление об итогах выпуска эмиссионных ценных бумаг.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A37E92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Иные сведения не 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37E92"/>
    <w:rsid w:val="00A3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4CBD8-02B7-4CAF-92FD-2042BA9E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3491</Words>
  <Characters>25402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2025-09-25T07:26:00Z</dcterms:created>
  <dcterms:modified xsi:type="dcterms:W3CDTF">2025-09-25T07:26:00Z</dcterms:modified>
</cp:coreProperties>
</file>